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POSH INDIA HELP  |  ORGANISATIONAL DRAFTING AID</w:t>
      </w:r>
    </w:p>
    <w:p>
      <w:pPr>
        <w:pStyle w:val="Title"/>
      </w:pPr>
      <w:r>
        <w:t>Workplace Sexual Harassment Prevention Policy Drafting Model</w:t>
      </w:r>
    </w:p>
    <w:p>
      <w:r>
        <w:t>Template ID: posh-policy-drafting-toolkit    Revision: 0.2.0</w:t>
      </w:r>
    </w:p>
    <w:p>
      <w:r>
        <w:t>MODEL — REQUIRES ORGANISATION-SPECIFIC AND QUALIFIED LEGAL REVIEW</w:t>
      </w:r>
    </w:p>
    <w:p>
      <w:r>
        <w:t>Organisation: [Legal name]    Owner: [Name / function]    Version: [ ]    Proposed effective date: [ ]</w:t>
      </w:r>
    </w:p>
    <w:p>
      <w:r>
        <w:t>How to use: complete every applicable placeholder, confirm sources and service rules, record decisions in Annexure D and actual review in Annexure E. Each numbered section separates proposed policy text from drafting notes. Remove the notes and unused alternatives only after review; approve the resulting policy before adoption. No blank annexure represents an approval.</w:t>
      </w:r>
    </w:p>
    <w:p>
      <w:pPr>
        <w:pStyle w:val="Heading1"/>
      </w:pPr>
      <w:r>
        <w:t>1. Purpose and commitment</w:t>
      </w:r>
    </w:p>
    <w:p>
      <w:pPr>
        <w:pStyle w:val="Caption"/>
      </w:pPr>
      <w:r>
        <w:t>PROPOSED POLICY TEXT</w:t>
      </w:r>
    </w:p>
    <w:p>
      <w:r>
        <w:t>[Organisation legal name] prohibits sexual harassment at the workplace and is committed to dignity, respect and a safe working environment. This policy explains prevention measures, the competent complaint routes, procedural safeguards and the responsibilities assigned to [responsible functions].</w:t>
      </w:r>
    </w:p>
    <w:p>
      <w:pPr>
        <w:pStyle w:val="Caption"/>
      </w:pPr>
      <w:r>
        <w:t>DRAFTING NOTE — REMOVE BEFORE ADOPTION: LAW: Sections 3 and 19. ORGANISATION-SPECIFIC: identify the employer and actual owners. Complete all bracketed fields; do not describe this model as government-approved or a compliance certificate.</w:t>
      </w:r>
    </w:p>
    <w:p>
      <w:pPr>
        <w:pStyle w:val="Heading1"/>
      </w:pPr>
      <w:r>
        <w:t>2. Statutory framework</w:t>
      </w:r>
    </w:p>
    <w:p>
      <w:pPr>
        <w:pStyle w:val="Caption"/>
      </w:pPr>
      <w:r>
        <w:t>PROPOSED POLICY TEXT</w:t>
      </w:r>
    </w:p>
    <w:p>
      <w:r>
        <w:t>This policy is to be read with the Sexual Harassment of Women at Workplace (Prevention, Prohibition and Redressal) Act, 2013, applicable Rules and the service rules applicable to the respondent. Related organisational procedures are [references]. Statutory rights and legally applicable procedures govern; an internal workflow shall not restrict access to the competent Committee or replace a statutory remedy.</w:t>
      </w:r>
    </w:p>
    <w:p>
      <w:pPr>
        <w:pStyle w:val="Caption"/>
      </w:pPr>
      <w:r>
        <w:t>DRAFTING NOTE — REMOVE BEFORE ADOPTION: LAW / RULES: review the current official sources, applicable service rules and relevant binding directions. Record source editions and any organisation-specific procedural decisions in Annexure D. Historical criminal-law and appeal-forum references require current-law analysis, not automatic substitution.</w:t>
      </w:r>
    </w:p>
    <w:p>
      <w:pPr>
        <w:pStyle w:val="Heading1"/>
      </w:pPr>
      <w:r>
        <w:t>3. Scope</w:t>
      </w:r>
    </w:p>
    <w:p>
      <w:pPr>
        <w:pStyle w:val="Caption"/>
      </w:pPr>
      <w:r>
        <w:t>PROPOSED POLICY TEXT</w:t>
      </w:r>
    </w:p>
    <w:p>
      <w:r>
        <w:t>This policy covers [specified workplaces, offices and administrative units] and work-related activities within the applicable statutory framework. Covered workforce arrangements include [regular, temporary, ad hoc, contractual, daily-wage, probationary, trainee, apprentice and other applicable arrangements]. Work-related travel, employer-provided transportation and remote or hybrid work are addressed at [scope reference], after assessment against Section 2(o).</w:t>
      </w:r>
    </w:p>
    <w:p>
      <w:r>
        <w:t>The statutory mechanism protects an aggrieved woman within Section 2(a): in relation to a workplace, a woman of any age, whether employed or not, alleging sexual harassment by the respondent; in relation to a dwelling place or house, a woman of any age employed there. Any broader dignity or grievance process is separately identified at [reference] and shall not replace the POSH mechanism.</w:t>
      </w:r>
    </w:p>
    <w:p>
      <w:pPr>
        <w:pStyle w:val="Caption"/>
      </w:pPr>
      <w:r>
        <w:t>DRAFTING NOTE — REMOVE BEFORE ADOPTION: LAW: Sections 2(a), 2(f), 2(o) and 3. ORGANISATION-SPECIFIC: list actual entities, units, work contexts and access arrangements. Do not limit statutory access to permanent employees or assume every remote interaction is automatically within scope.</w:t>
      </w:r>
    </w:p>
    <w:p>
      <w:pPr>
        <w:pStyle w:val="Heading1"/>
      </w:pPr>
      <w:r>
        <w:t>4. Definitions</w:t>
      </w:r>
    </w:p>
    <w:p>
      <w:pPr>
        <w:pStyle w:val="Caption"/>
      </w:pPr>
      <w:r>
        <w:t>PROPOSED POLICY TEXT</w:t>
      </w:r>
    </w:p>
    <w:p>
      <w:r>
        <w:t>The meanings in the Act govern this policy: aggrieved woman in Section 2(a), employee in Section 2(f), employer in Section 2(g), respondent in Section 2(m), sexual harassment in Section 2(n), and workplace in Section 2(o). The Internal Committee (IC) is constituted under Section 4. The Local Committee (LC) and its jurisdiction are addressed in Sections 6 and 7. These terms shall not be narrowed by an internal job title, employment category or reporting line.</w:t>
      </w:r>
    </w:p>
    <w:p>
      <w:pPr>
        <w:pStyle w:val="Caption"/>
      </w:pPr>
      <w:r>
        <w:t>DRAFTING NOTE — REMOVE BEFORE ADOPTION: LAW: retain access to the official definitions with the adopted policy. A simplified glossary may assist readers but must not displace the statutory wording.</w:t>
      </w:r>
    </w:p>
    <w:p>
      <w:pPr>
        <w:pStyle w:val="Heading1"/>
      </w:pPr>
      <w:r>
        <w:t>5. Prohibited conduct</w:t>
      </w:r>
    </w:p>
    <w:p>
      <w:pPr>
        <w:pStyle w:val="Caption"/>
      </w:pPr>
      <w:r>
        <w:t>PROPOSED POLICY TEXT</w:t>
      </w:r>
    </w:p>
    <w:p>
      <w:r>
        <w:t>Unwelcome sexual conduct is prohibited. Section 2(n) covers physical contact and advances; a demand or request for sexual favours; sexually coloured remarks; showing pornography; and other unwelcome physical, verbal or non-verbal conduct of a sexual nature, directly or by implication.</w:t>
      </w:r>
    </w:p>
    <w:p>
      <w:r>
        <w:t>Section 3(2) addresses circumstances connected with sexual harassment, including employment-related promises or threats, interference with work or an intimidating, offensive or hostile work environment, and humiliating treatment likely to affect health or safety. Concerns shall be assessed through the legally applicable process; this policy does not predetermine an allegation or its outcome.</w:t>
      </w:r>
    </w:p>
    <w:p>
      <w:pPr>
        <w:pStyle w:val="Caption"/>
      </w:pPr>
      <w:r>
        <w:t>DRAFTING NOTE — REMOVE BEFORE ADOPTION: LAW: Sections 2(n) and 3. Any examples added by the organisation should be illustrative and non-identifying, and must not narrow the statutory test.</w:t>
      </w:r>
    </w:p>
    <w:p>
      <w:pPr>
        <w:pStyle w:val="Heading1"/>
      </w:pPr>
      <w:r>
        <w:t>6. Committee and reporting contacts</w:t>
      </w:r>
    </w:p>
    <w:p>
      <w:pPr>
        <w:pStyle w:val="Caption"/>
      </w:pPr>
      <w:r>
        <w:t>PROPOSED POLICY TEXT</w:t>
      </w:r>
    </w:p>
    <w:p>
      <w:r>
        <w:t>The current IC constitution order and the members' names and official contact details for [units] are accessible at [location/channel] and recorded in Annexure A. [Responsible function] maintains and communicates current information. Access to the competent forum does not require managerial permission, an informal confrontation or an HR screening decision.</w:t>
      </w:r>
    </w:p>
    <w:p>
      <w:r>
        <w:t>Section 6 provides the LC route for establishments where an IC has not been constituted because there are fewer than ten workers, and where the complaint is against the employer himself. Section 9 addresses the IC if constituted and the LC where it is not. Verified district-specific LC information and the assistance contact are [details]. An absent or defective IC arrangement shall be referred promptly for competent legal and official guidance without obstructing a complaint.</w:t>
      </w:r>
    </w:p>
    <w:p>
      <w:pPr>
        <w:pStyle w:val="Caption"/>
      </w:pPr>
      <w:r>
        <w:t>DRAFTING NOTE — REMOVE BEFORE ADOPTION: LAW: Sections 4, 6 and 9; Section 19(b). RULES: Rule 13(e). Verify the actual employer, unit, competent district and official contacts; do not invent an LC or treat unlawful non-constitution as an approved alternative.</w:t>
      </w:r>
    </w:p>
    <w:p>
      <w:pPr>
        <w:pStyle w:val="Heading1"/>
      </w:pPr>
      <w:r>
        <w:t>7. Complaint procedure</w:t>
      </w:r>
    </w:p>
    <w:p>
      <w:pPr>
        <w:pStyle w:val="Caption"/>
      </w:pPr>
      <w:r>
        <w:t>PROPOSED POLICY TEXT</w:t>
      </w:r>
    </w:p>
    <w:p>
      <w:r>
        <w:t>An aggrieved woman may make a written complaint to the competent IC or LC under Section 9 within three months of the incident, or of the last incident in a series. The Committee may extend that limit by a period not exceeding three months if circumstances prevented filing, recording its reasons in writing.</w:t>
      </w:r>
    </w:p>
    <w:p>
      <w:r>
        <w:t>Where the woman cannot make the complaint in writing, the IC's Presiding Officer or any member, or the LC's Chairperson or any member, as applicable, shall provide all reasonable assistance to put it in writing. Section 9(2) and Rule 6 provide routes for specified other persons where physical or mental incapacity, death or another reason prevents the woman from making a complaint. The relevant category and its consent or joint-action conditions must be applied. Requests for assistance may be addressed to [official contact].</w:t>
      </w:r>
    </w:p>
    <w:p>
      <w:pPr>
        <w:pStyle w:val="Caption"/>
      </w:pPr>
      <w:r>
        <w:t>DRAFTING NOTE — REMOVE BEFORE ADOPTION: LAW: Section 9. RULES: Rule 6. Provide an accessible channel and reasonable assistance; an internal form must not become an additional access barrier. Before adoption, confirm each Rule 6 category against the Gazette, including the source anomaly in Rule 6(ii)(a); do not silently rewrite it or impose one blanket consent rule.</w:t>
      </w:r>
    </w:p>
    <w:p>
      <w:pPr>
        <w:pStyle w:val="Heading1"/>
      </w:pPr>
      <w:r>
        <w:t>8. Conciliation</w:t>
      </w:r>
    </w:p>
    <w:p>
      <w:pPr>
        <w:pStyle w:val="Caption"/>
      </w:pPr>
      <w:r>
        <w:t>PROPOSED POLICY TEXT</w:t>
      </w:r>
    </w:p>
    <w:p>
      <w:r>
        <w:t>Before beginning an inquiry under Section 11, the Committee may take steps towards conciliation only at the aggrieved woman's request. Monetary settlement shall not be its basis. If a settlement is reached, the Committee records it, forwards it to the employer or District Officer for action as specified, and provides copies to the woman and respondent. No further inquiry follows that settlement under Section 10(4), subject to the non-compliance route in Section 11(1). Conciliation shall not be compulsory or a condition for access to inquiry.</w:t>
      </w:r>
    </w:p>
    <w:p>
      <w:pPr>
        <w:pStyle w:val="Caption"/>
      </w:pPr>
      <w:r>
        <w:t>DRAFTING NOTE — REMOVE BEFORE ADOPTION: LAW: Sections 10 and 11(1). Do not describe an HR-mediated settlement, forced withdrawal or confidentiality undertaking as a substitute for the statutory process.</w:t>
      </w:r>
    </w:p>
    <w:p>
      <w:pPr>
        <w:pStyle w:val="Heading1"/>
      </w:pPr>
      <w:r>
        <w:t>9. Inquiry</w:t>
      </w:r>
    </w:p>
    <w:p>
      <w:pPr>
        <w:pStyle w:val="Caption"/>
      </w:pPr>
      <w:r>
        <w:t>PROPOSED POLICY TEXT</w:t>
      </w:r>
    </w:p>
    <w:p>
      <w:r>
        <w:t>Subject to Section 10, the competent Committee proceeds under Section 11 and the service rules applicable to the respondent; where those rules do not exist, the prescribed procedure applies. Section 11(4) requires completion of the inquiry within ninety days. Where both parties are employees, the Section 11(1) safeguards include an opportunity to be heard and access to findings enabling representation before the Committee.</w:t>
      </w:r>
    </w:p>
    <w:p>
      <w:r>
        <w:t>Subject to Section 11, Rule 7 specifies six complaint copies with supporting documents and witness names and addresses; dispatch of a copy to the respondent within seven working days; and a reply with documents and witness details within a period not exceeding ten working days from receipt of the specified documents. The Committee observes natural justice.</w:t>
      </w:r>
    </w:p>
    <w:p>
      <w:r>
        <w:t>Rule 7 also addresses absence without sufficient cause for three consecutive hearings: termination or an ex parte decision requires written notice fifteen days in advance to the concerned party. It prohibits legal-practitioner representation before the Committee and requires at least three Committee members, including the Presiding Officer or Chairperson, at inquiry. [Responsible function] provides facilities, attendance and information support without directing findings.</w:t>
      </w:r>
    </w:p>
    <w:p>
      <w:pPr>
        <w:pStyle w:val="Caption"/>
      </w:pPr>
      <w:r>
        <w:t>DRAFTING NOTE — REMOVE BEFORE ADOPTION: LAW: Sections 11 and 19(d)-(f). RULES: Rule 7. Reconcile applicable service rules and current binding directions before adoption. Retain the distinction between days and working days; do not invent a ten-day findings-response period. Domestic-worker/police referral and historical criminal-law references require separate current-law review. Witness data belongs only in the authorised confidential process, never in these planning workbooks.</w:t>
      </w:r>
    </w:p>
    <w:p>
      <w:pPr>
        <w:pStyle w:val="Heading1"/>
      </w:pPr>
      <w:r>
        <w:t>10. Interim measures</w:t>
      </w:r>
    </w:p>
    <w:p>
      <w:pPr>
        <w:pStyle w:val="Caption"/>
      </w:pPr>
      <w:r>
        <w:t>PROPOSED POLICY TEXT</w:t>
      </w:r>
    </w:p>
    <w:p>
      <w:r>
        <w:t>During inquiry, on the aggrieved woman's written request, the Committee may recommend the Section 12 measures, including transfer of the woman or respondent to another workplace, or leave for the woman up to three months in addition to leave otherwise due.</w:t>
      </w:r>
    </w:p>
    <w:p>
      <w:r>
        <w:t>Rule 8 separately provides for recommending that the respondent be restrained from reporting on the woman's work performance or writing her confidential report, with that task assigned to another officer; and, in an educational institution, from supervising her academic activity. The employer shall implement Section 12 recommendations and report implementation to the Committee. These measures do not themselves establish misconduct.</w:t>
      </w:r>
    </w:p>
    <w:p>
      <w:pPr>
        <w:pStyle w:val="Caption"/>
      </w:pPr>
      <w:r>
        <w:t>DRAFTING NOTE — REMOVE BEFORE ADOPTION: LAW: Section 12. RULES: Rule 8. Identify [implementation owner] and the lawful request channel. Do not attribute transfer or leave to Rule 8 or describe an employer decision as a substitute for the Committee's statutory role.</w:t>
      </w:r>
    </w:p>
    <w:p>
      <w:pPr>
        <w:pStyle w:val="Heading1"/>
      </w:pPr>
      <w:r>
        <w:t>11. Findings recommendations and appeal</w:t>
      </w:r>
    </w:p>
    <w:p>
      <w:pPr>
        <w:pStyle w:val="Caption"/>
      </w:pPr>
      <w:r>
        <w:t>PROPOSED POLICY TEXT</w:t>
      </w:r>
    </w:p>
    <w:p>
      <w:r>
        <w:t>Under Section 13(1), the Committee provides its findings report to the employer or District Officer, as applicable, within ten days of completing inquiry and makes it available to the concerned parties. Where allegations are not proved, Section 13(2) provides for a recommendation of no action. Where proved, Section 13(3) addresses misconduct action under the applicable service rules or prescribed procedure and separately compensation determined with regard to Section 15. The employer or District Officer shall act on the recommendation within sixty days of receipt under Section 13(4).</w:t>
      </w:r>
    </w:p>
    <w:p>
      <w:r>
        <w:t>Section 18 provides an appeal concerning the recommendations specified in Sections 13(2), 13(3)(i)-(ii), 14(1)-(2), Section 17, or non-implementation of such recommendations. The applicable court or tribunal follows the relevant service rules; where none exist, the prescribed manner applies without prejudice to other applicable law. Section 18(2) specifies ninety days of the recommendations. The organisation's verified route and source reference are [details].</w:t>
      </w:r>
    </w:p>
    <w:p>
      <w:pPr>
        <w:pStyle w:val="Caption"/>
      </w:pPr>
      <w:r>
        <w:t>DRAFTING NOTE — REMOVE BEFORE ADOPTION: LAW: Sections 13, 15 and 18. RULES: Rules 9 and 11 where applicable. Obtain current service-rule and legislative analysis before naming a forum, particularly because Rule 11 cites the historical 1946 enactment. Do not replace the statutory starting point, classify these periods as working days or invent an extension.</w:t>
      </w:r>
    </w:p>
    <w:p>
      <w:pPr>
        <w:pStyle w:val="Heading1"/>
      </w:pPr>
      <w:r>
        <w:t>12. Confidentiality</w:t>
      </w:r>
    </w:p>
    <w:p>
      <w:pPr>
        <w:pStyle w:val="Caption"/>
      </w:pPr>
      <w:r>
        <w:t>PROPOSED POLICY TEXT</w:t>
      </w:r>
    </w:p>
    <w:p>
      <w:r>
        <w:t>Complaint contents, party and witness identities and addresses, conciliation and inquiry information, Committee recommendations and action taken shall be handled consistently with Section 16. They shall not be published or made known to the public, press or media contrary to that section. Its proviso permits information about justice secured only without identifying particulars of the aggrieved woman and witnesses.</w:t>
      </w:r>
    </w:p>
    <w:p>
      <w:r>
        <w:t>[Responsible owner] controls restricted storage and lawful access for procedural needs. Section 17 governs penalties for entrusted persons contravening Section 16. Absolute anonymity is not promised; legally required communications to parties and the competent authorities remain part of the lawful process.</w:t>
      </w:r>
    </w:p>
    <w:p>
      <w:pPr>
        <w:pStyle w:val="Caption"/>
      </w:pPr>
      <w:r>
        <w:t>DRAFTING NOTE — REMOVE BEFORE ADOPTION: LAW: Sections 16 and 17. RULES: Rule 12 where applicable. Define authorised access, storage and retention under applicable law. Do not use a confidentiality clause to prevent lawful participation or promise that every organisational communication is legally confidential.</w:t>
      </w:r>
    </w:p>
    <w:p>
      <w:pPr>
        <w:pStyle w:val="Heading1"/>
      </w:pPr>
      <w:r>
        <w:t>13. Protection against improper retaliation</w:t>
      </w:r>
    </w:p>
    <w:p>
      <w:pPr>
        <w:pStyle w:val="Caption"/>
      </w:pPr>
      <w:r>
        <w:t>PROPOSED POLICY TEXT</w:t>
      </w:r>
    </w:p>
    <w:p>
      <w:r>
        <w:t>[Organisation] commits to addressing improper pressure, coercion or adverse treatment connected with lawful reporting or participation. Concerns may be raised through [lawful organisational route] without obstructing statutory remedies. [Responsible function] considers the applicable law and approved organisational procedure. This additional commitment does not predetermine the complaint's truth, the inquiry outcome or any legally justified employment decision.</w:t>
      </w:r>
    </w:p>
    <w:p>
      <w:pPr>
        <w:pStyle w:val="Caption"/>
      </w:pPr>
      <w:r>
        <w:t>DRAFTING NOTE — REMOVE BEFORE ADOPTION: ORGANISATION-SPECIFIC commitment: identify actual owners and applicable employment-law protections. Do not label an additional policy commitment as a verbatim universal POSH provision.</w:t>
      </w:r>
    </w:p>
    <w:p>
      <w:pPr>
        <w:pStyle w:val="Heading1"/>
      </w:pPr>
      <w:r>
        <w:t>14. Malicious complaints and evidence</w:t>
      </w:r>
    </w:p>
    <w:p>
      <w:pPr>
        <w:pStyle w:val="Caption"/>
      </w:pPr>
      <w:r>
        <w:t>PROPOSED POLICY TEXT</w:t>
      </w:r>
    </w:p>
    <w:p>
      <w:r>
        <w:t>Inability to substantiate a complaint or provide adequate proof shall not by itself be treated as malicious reporting. Section 14(1) addresses malicious allegations, a complaint known to be false, or forged or misleading documents by the complainant or other person making the complaint. Its safeguards include establishing malicious intent through the prescribed inquiry before recommending action.</w:t>
      </w:r>
    </w:p>
    <w:p>
      <w:r>
        <w:t>Section 14(2) separately addresses a witness giving false evidence or producing forged or misleading documents during inquiry. Any recommendation must follow the relevant statutory grounds and applicable service rules or prescribed procedure. These provisions shall not be used to discourage good-faith reporting.</w:t>
      </w:r>
    </w:p>
    <w:p>
      <w:pPr>
        <w:pStyle w:val="Caption"/>
      </w:pPr>
      <w:r>
        <w:t>DRAFTING NOTE — REMOVE BEFORE ADOPTION: LAW: Section 14. RULES: Rule 10 where applicable. Keep the complainant and witness grounds distinct; an adverse finding on the underlying complaint is not an automatic finding of malice.</w:t>
      </w:r>
    </w:p>
    <w:p>
      <w:pPr>
        <w:pStyle w:val="Heading1"/>
      </w:pPr>
      <w:r>
        <w:t>15. Employer responsibilities</w:t>
      </w:r>
    </w:p>
    <w:p>
      <w:pPr>
        <w:pStyle w:val="Caption"/>
      </w:pPr>
      <w:r>
        <w:t>PROPOSED POLICY TEXT</w:t>
      </w:r>
    </w:p>
    <w:p>
      <w:r>
        <w:t>[Assigned functions] shall implement Section 19 duties: a safe working environment, conspicuous display of penal consequences and the IC constitution order, employee workshops and awareness at regular intervals, IC orientation, necessary facilities, attendance and information assistance, assistance with a legal complaint if the woman chooses, applicable action, treatment of sexual harassment as misconduct, and monitoring of timely IC reports.</w:t>
      </w:r>
    </w:p>
    <w:p>
      <w:r>
        <w:t>Rule 13 additionally addresses wide dissemination of the internal policy or other stated instrument, IC orientation and seminars, employee awareness and dialogue, IC capacity and skill building, declaration of member names and contacts, and use of State Government modules for employee sensitisation.</w:t>
      </w:r>
    </w:p>
    <w:p>
      <w:r>
        <w:t>The Committee prepares its annual report in each calendar year under Section 21 and submits it to the employer and District Officer; Rule 14 specifies its five reporting fields. Section 22 separately requires the employer to include case numbers and disposal in the organisation's annual report or, where such a report is not required, intimate case numbers, if any, to the District Officer. [Reporting owner] verifies current applicable instructions and protects confidentiality.</w:t>
      </w:r>
    </w:p>
    <w:p>
      <w:pPr>
        <w:pStyle w:val="Caption"/>
      </w:pPr>
      <w:r>
        <w:t>DRAFTING NOTE — REMOVE BEFORE ADOPTION: LAW: Sections 19, 21 and 22. RULES: Rules 13 and 14. Assign owners for all applicable duties, including the distinct Section 19(g)-(h) assistance/action framework, after current criminal-law review. No commercial certificate, universal session count or universal national filing date is supplied by this model.</w:t>
      </w:r>
    </w:p>
    <w:p>
      <w:pPr>
        <w:pStyle w:val="Heading1"/>
      </w:pPr>
      <w:r>
        <w:t>16. Review and document governance</w:t>
      </w:r>
    </w:p>
    <w:p>
      <w:pPr>
        <w:pStyle w:val="Caption"/>
      </w:pPr>
      <w:r>
        <w:t>PROPOSED POLICY TEXT</w:t>
      </w:r>
    </w:p>
    <w:p>
      <w:r>
        <w:t>Policy owner: [ ]. Approving authority: [ ]. Version: [ ]. Effective date: [ ]. Covered locations: [ ]. Review triggers: [law or service-rule change, structural or contact change, relevant review findings]. Related procedures: [ ]. Approved communication channels and accessible formats: [ ]. Annexure C records revisions and actual approvals. [Responsible function] maintains the current approved copy and withdraws superseded versions from use.</w:t>
      </w:r>
    </w:p>
    <w:p>
      <w:pPr>
        <w:pStyle w:val="Caption"/>
      </w:pPr>
      <w:r>
        <w:t>DRAFTING NOTE — REMOVE BEFORE ADOPTION: RECOMMENDED CONTROL / ORGANISATION-SPECIFIC: complete and authorise before adoption. An internal review schedule does not create a universal annual Board approval, revision or acknowledgement duty. Remove drafting notes and unused alternatives only after recording the decisions and actual review evidence.</w:t>
      </w:r>
    </w:p>
    <w:p>
      <w:pPr>
        <w:pStyle w:val="Heading1"/>
      </w:pPr>
      <w:r>
        <w:t>Annexure A — IC and verified LC contacts</w:t>
      </w:r>
    </w:p>
    <w:p>
      <w:r>
        <w:t>RECOMMENDED CONTROL: complete only after an actual organisational decision or review; blank fields are not approval.</w:t>
      </w:r>
    </w:p>
    <w:tbl>
      <w:tblPr>
        <w:tblStyle w:val="LightShading-Accent1"/>
        <w:tblW w:type="auto" w:w="0"/>
        <w:tblLook w:firstColumn="1" w:firstRow="1" w:lastColumn="0" w:lastRow="0" w:noHBand="0" w:noVBand="1" w:val="04A0"/>
      </w:tblPr>
      <w:tblGrid>
        <w:gridCol w:w="2076"/>
        <w:gridCol w:w="2076"/>
        <w:gridCol w:w="2076"/>
        <w:gridCol w:w="2076"/>
      </w:tblGrid>
      <w:tr>
        <w:tc>
          <w:tcPr>
            <w:tcW w:type="dxa" w:w="2076"/>
          </w:tcPr>
          <w:p>
            <w:r>
              <w:t>Workplace / district</w:t>
            </w:r>
          </w:p>
        </w:tc>
        <w:tc>
          <w:tcPr>
            <w:tcW w:type="dxa" w:w="2076"/>
          </w:tcPr>
          <w:p>
            <w:r>
              <w:t>Committee / member / role</w:t>
            </w:r>
          </w:p>
        </w:tc>
        <w:tc>
          <w:tcPr>
            <w:tcW w:type="dxa" w:w="2076"/>
          </w:tcPr>
          <w:p>
            <w:r>
              <w:t>Official reporting / assistance contact</w:t>
            </w:r>
          </w:p>
        </w:tc>
        <w:tc>
          <w:tcPr>
            <w:tcW w:type="dxa" w:w="2076"/>
          </w:tcPr>
          <w:p>
            <w:r>
              <w:t>Official source / verified by / date</w:t>
            </w: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bl>
    <w:p>
      <w:pPr>
        <w:pStyle w:val="Heading1"/>
      </w:pPr>
      <w:r>
        <w:t>Annexure B — Policy communication record</w:t>
      </w:r>
    </w:p>
    <w:p>
      <w:r>
        <w:t>RECOMMENDED CONTROL: complete only after an actual organisational decision or review; blank fields are not approval.</w:t>
      </w:r>
    </w:p>
    <w:tbl>
      <w:tblPr>
        <w:tblStyle w:val="LightShading-Accent1"/>
        <w:tblW w:type="auto" w:w="0"/>
        <w:tblLook w:firstColumn="1" w:firstRow="1" w:lastColumn="0" w:lastRow="0" w:noHBand="0" w:noVBand="1" w:val="04A0"/>
      </w:tblPr>
      <w:tblGrid>
        <w:gridCol w:w="2076"/>
        <w:gridCol w:w="2076"/>
        <w:gridCol w:w="2076"/>
        <w:gridCol w:w="2076"/>
      </w:tblGrid>
      <w:tr>
        <w:tc>
          <w:tcPr>
            <w:tcW w:type="dxa" w:w="2076"/>
          </w:tcPr>
          <w:p>
            <w:r>
              <w:t>Version</w:t>
            </w:r>
          </w:p>
        </w:tc>
        <w:tc>
          <w:tcPr>
            <w:tcW w:type="dxa" w:w="2076"/>
          </w:tcPr>
          <w:p>
            <w:r>
              <w:t>Audience / accessible channel</w:t>
            </w:r>
          </w:p>
        </w:tc>
        <w:tc>
          <w:tcPr>
            <w:tcW w:type="dxa" w:w="2076"/>
          </w:tcPr>
          <w:p>
            <w:r>
              <w:t>Date</w:t>
            </w:r>
          </w:p>
        </w:tc>
        <w:tc>
          <w:tcPr>
            <w:tcW w:type="dxa" w:w="2076"/>
          </w:tcPr>
          <w:p>
            <w:r>
              <w:t>Owner / evidence reference</w:t>
            </w: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bl>
    <w:p>
      <w:pPr>
        <w:pStyle w:val="Heading1"/>
      </w:pPr>
      <w:r>
        <w:t>Annexure C — Version history</w:t>
      </w:r>
    </w:p>
    <w:p>
      <w:r>
        <w:t>RECOMMENDED CONTROL: complete only after an actual organisational decision or review; blank fields are not approval.</w:t>
      </w:r>
    </w:p>
    <w:tbl>
      <w:tblPr>
        <w:tblStyle w:val="LightShading-Accent1"/>
        <w:tblW w:type="auto" w:w="0"/>
        <w:tblLook w:firstColumn="1" w:firstRow="1" w:lastColumn="0" w:lastRow="0" w:noHBand="0" w:noVBand="1" w:val="04A0"/>
      </w:tblPr>
      <w:tblGrid>
        <w:gridCol w:w="2076"/>
        <w:gridCol w:w="2076"/>
        <w:gridCol w:w="2076"/>
        <w:gridCol w:w="2076"/>
      </w:tblGrid>
      <w:tr>
        <w:tc>
          <w:tcPr>
            <w:tcW w:type="dxa" w:w="2076"/>
          </w:tcPr>
          <w:p>
            <w:r>
              <w:t>Version</w:t>
            </w:r>
          </w:p>
        </w:tc>
        <w:tc>
          <w:tcPr>
            <w:tcW w:type="dxa" w:w="2076"/>
          </w:tcPr>
          <w:p>
            <w:r>
              <w:t>Date / effective date</w:t>
            </w:r>
          </w:p>
        </w:tc>
        <w:tc>
          <w:tcPr>
            <w:tcW w:type="dxa" w:w="2076"/>
          </w:tcPr>
          <w:p>
            <w:r>
              <w:t>Change / superseded version</w:t>
            </w:r>
          </w:p>
        </w:tc>
        <w:tc>
          <w:tcPr>
            <w:tcW w:type="dxa" w:w="2076"/>
          </w:tcPr>
          <w:p>
            <w:r>
              <w:t>Actual approving authority / reference</w:t>
            </w: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bl>
    <w:p>
      <w:pPr>
        <w:pStyle w:val="Heading1"/>
      </w:pPr>
      <w:r>
        <w:t>Annexure D — Drafting decisions</w:t>
      </w:r>
    </w:p>
    <w:p>
      <w:r>
        <w:t>RECOMMENDED CONTROL: complete only after an actual organisational decision or review; blank fields are not approval.</w:t>
      </w:r>
    </w:p>
    <w:tbl>
      <w:tblPr>
        <w:tblStyle w:val="LightShading-Accent1"/>
        <w:tblW w:type="auto" w:w="0"/>
        <w:tblLook w:firstColumn="1" w:firstRow="1" w:lastColumn="0" w:lastRow="0" w:noHBand="0" w:noVBand="1" w:val="04A0"/>
      </w:tblPr>
      <w:tblGrid>
        <w:gridCol w:w="2076"/>
        <w:gridCol w:w="2076"/>
        <w:gridCol w:w="2076"/>
        <w:gridCol w:w="2076"/>
      </w:tblGrid>
      <w:tr>
        <w:tc>
          <w:tcPr>
            <w:tcW w:type="dxa" w:w="2076"/>
          </w:tcPr>
          <w:p>
            <w:r>
              <w:t>Clause</w:t>
            </w:r>
          </w:p>
        </w:tc>
        <w:tc>
          <w:tcPr>
            <w:tcW w:type="dxa" w:w="2076"/>
          </w:tcPr>
          <w:p>
            <w:r>
              <w:t>Decision / adaptation</w:t>
            </w:r>
          </w:p>
        </w:tc>
        <w:tc>
          <w:tcPr>
            <w:tcW w:type="dxa" w:w="2076"/>
          </w:tcPr>
          <w:p>
            <w:r>
              <w:t>Legal basis / source edition</w:t>
            </w:r>
          </w:p>
        </w:tc>
        <w:tc>
          <w:tcPr>
            <w:tcW w:type="dxa" w:w="2076"/>
          </w:tcPr>
          <w:p>
            <w:r>
              <w:t>Owner / outstanding review</w:t>
            </w: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bl>
    <w:p>
      <w:pPr>
        <w:pStyle w:val="Heading1"/>
      </w:pPr>
      <w:r>
        <w:t>Annexure E — Legal review and approval record</w:t>
      </w:r>
    </w:p>
    <w:p>
      <w:r>
        <w:t>RECOMMENDED CONTROL: complete only after an actual organisational decision or review; blank fields are not approval.</w:t>
      </w:r>
    </w:p>
    <w:tbl>
      <w:tblPr>
        <w:tblStyle w:val="LightShading-Accent1"/>
        <w:tblW w:type="auto" w:w="0"/>
        <w:tblLook w:firstColumn="1" w:firstRow="1" w:lastColumn="0" w:lastRow="0" w:noHBand="0" w:noVBand="1" w:val="04A0"/>
      </w:tblPr>
      <w:tblGrid>
        <w:gridCol w:w="2076"/>
        <w:gridCol w:w="2076"/>
        <w:gridCol w:w="2076"/>
        <w:gridCol w:w="2076"/>
      </w:tblGrid>
      <w:tr>
        <w:tc>
          <w:tcPr>
            <w:tcW w:type="dxa" w:w="2076"/>
          </w:tcPr>
          <w:p>
            <w:r>
              <w:t>Scope / policy version</w:t>
            </w:r>
          </w:p>
        </w:tc>
        <w:tc>
          <w:tcPr>
            <w:tcW w:type="dxa" w:w="2076"/>
          </w:tcPr>
          <w:p>
            <w:r>
              <w:t>Reviewer / capacity</w:t>
            </w:r>
          </w:p>
        </w:tc>
        <w:tc>
          <w:tcPr>
            <w:tcW w:type="dxa" w:w="2076"/>
          </w:tcPr>
          <w:p>
            <w:r>
              <w:t>Actual date</w:t>
            </w:r>
          </w:p>
        </w:tc>
        <w:tc>
          <w:tcPr>
            <w:tcW w:type="dxa" w:w="2076"/>
          </w:tcPr>
          <w:p>
            <w:r>
              <w:t>Decision / evidence / unresolved issues</w:t>
            </w: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r>
        <w:tc>
          <w:tcPr>
            <w:tcW w:type="dxa" w:w="2076"/>
          </w:tcPr>
          <w:p/>
        </w:tc>
        <w:tc>
          <w:tcPr>
            <w:tcW w:type="dxa" w:w="2076"/>
          </w:tcPr>
          <w:p/>
        </w:tc>
        <w:tc>
          <w:tcPr>
            <w:tcW w:type="dxa" w:w="2076"/>
          </w:tcPr>
          <w:p/>
        </w:tc>
        <w:tc>
          <w:tcPr>
            <w:tcW w:type="dxa" w:w="2076"/>
          </w:tcPr>
          <w:p/>
        </w:tc>
      </w:tr>
    </w:tbl>
    <w:p>
      <w:r>
        <w:t>Input fingerprint: e0157d29b80952c61f21962b488cab9b0969af68ea1ef1f8bd4b3ccadcbaae19; final binary SHA-256 is recorded in the companion release manifest, not embedded recursively in this file.</w:t>
      </w:r>
    </w:p>
    <w:p>
      <w:pPr>
        <w:pStyle w:val="Heading1"/>
      </w:pPr>
      <w:r>
        <w:t>Sources and status</w:t>
      </w:r>
    </w:p>
    <w:p>
      <w:r>
        <w:t>Primary source: India Code, POSH Act, 2013, https://www.indiacode.nic.in/indiacode/bitstream/123456789/2104/1/A2013-14.pdf</w:t>
        <w:br/>
        <w:t>Rules references require confirmation against current official text before adoption. Last editorial update: 2026-11-02; template review and publication confirmed 2026-11-03. Organisation-specific adoption requires separate review.</w:t>
      </w:r>
    </w:p>
    <w:p>
      <w:r>
        <w:t>PIH organisational drafting aid — not a government-prescribed form, certification or legal opinion. Customise and obtain appropriate legal and organisational approval before use.</w:t>
      </w:r>
    </w:p>
    <w:p>
      <w:r>
        <w:t>POSH Act 2013 — India Code | India Code PDF — last updated 31 August 2021 | https://www.indiacode.nic.in/indiacode/bitstream/123456789/2104/1/A2013-14.pdf</w:t>
      </w:r>
    </w:p>
    <w:p>
      <w:r>
        <w:t>POSH Rules 2013 — Ministry Gazette | G.S.R. 769(E), dated 9 December 2013 | https://spniwcd.wcd.gov.in/uploads/pdf/1719914401_2NUqe91gql.pdf</w:t>
      </w:r>
    </w:p>
    <w:p>
      <w:r>
        <w:t>LAW = Act duty; RULES = prescribed requirement; RECOMMENDED CONTROL = planning aid; ORGANISATION-SPECIFIC = contextual decision.</w:t>
      </w:r>
    </w:p>
    <w:sectPr w:rsidR="00FC693F" w:rsidRPr="0006063C" w:rsidSect="00034616">
      <w:footerReference w:type="default" r:id="rId9"/>
      <w:pgSz w:w="11905" w:h="16838"/>
      <w:pgMar w:top="1008"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PIH model 0.2.0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47556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23B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23B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23B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2026-11-02T00:00:00Z</dcterms:created>
  <dcterms:modified xsi:type="dcterms:W3CDTF">2026-11-02T00:00:00Z</dcterms:modified>
  <cp:category/>
</cp:coreProperties>
</file>