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POSH INDIA HELP  |  ORGANISATIONAL DRAFTING AID</w:t>
      </w:r>
    </w:p>
    <w:p>
      <w:pPr>
        <w:pStyle w:val="Title"/>
      </w:pPr>
      <w:r>
        <w:t>Internal Committee Constitution Order</w:t>
      </w:r>
    </w:p>
    <w:p>
      <w:r>
        <w:t>Template ID: ic-constitution-order-template    Revision: 0.2.0</w:t>
      </w:r>
    </w:p>
    <w:p>
      <w:r>
        <w:t>MODEL — REQUIRES ORGANISATION-SPECIFIC AND QUALIFIED LEGAL REVIEW</w:t>
      </w:r>
    </w:p>
    <w:p>
      <w:r>
        <w:t>Organisation: [Legal name]    Owner: [Name / function]    Version: [ ]    Proposed effective date: [ ]</w:t>
      </w:r>
    </w:p>
    <w:p>
      <w:r>
        <w:t>Order reference: [ ]   Date: [DD/MM/YYYY]   Workplace / administrative unit: [precise unit]   Effective date: [ ]</w:t>
      </w:r>
    </w:p>
    <w:p>
      <w:r>
        <w:t>How to use: complete the proposed order, insert additional employee-member rows where needed, and record actual composition and source review in the annexures. Drafting notes are instructions for the reviewer; remove them from the issued order after review. Blank fields do not confirm eligibility or approval.</w:t>
      </w:r>
    </w:p>
    <w:p>
      <w:pPr>
        <w:pStyle w:val="Heading1"/>
      </w:pPr>
      <w:r>
        <w:t>Clause 1 — Constitution</w:t>
      </w:r>
    </w:p>
    <w:p>
      <w:pPr>
        <w:pStyle w:val="Caption"/>
      </w:pPr>
      <w:r>
        <w:t>PROPOSED ORDER TEXT</w:t>
      </w:r>
    </w:p>
    <w:p>
      <w:r>
        <w:t>Pursuant to Section 4 of the Sexual Harassment of Women at Workplace (Prevention, Prohibition and Redressal) Act, 2013, and subject to applicable statutory requirements, [Employer] hereby constitutes an Internal Committee for [specified workplace / administrative unit] with effect from [date].</w:t>
      </w:r>
    </w:p>
    <w:p>
      <w:pPr>
        <w:pStyle w:val="Caption"/>
      </w:pPr>
      <w:r>
        <w:t>DRAFTING NOTE — REMOVE BEFORE ISSUE: verify the actual offices and administrative units under Section 4(1), the legal employer and the applicable IC/LC arrangement. Do not assume one generic order covers every office nationally.</w:t>
      </w:r>
    </w:p>
    <w:p>
      <w:pPr>
        <w:pStyle w:val="Heading1"/>
      </w:pPr>
      <w:r>
        <w:t>Clause 2 — Nominated members</w:t>
      </w:r>
    </w:p>
    <w:tbl>
      <w:tblPr>
        <w:tblStyle w:val="LightShading-Accent1"/>
        <w:tblW w:type="auto" w:w="0"/>
        <w:tblLook w:firstColumn="1" w:firstRow="1" w:lastColumn="0" w:lastRow="0" w:noHBand="0" w:noVBand="1" w:val="04A0"/>
      </w:tblPr>
      <w:tblGrid>
        <w:gridCol w:w="1038"/>
        <w:gridCol w:w="1038"/>
        <w:gridCol w:w="1038"/>
        <w:gridCol w:w="1038"/>
        <w:gridCol w:w="1038"/>
        <w:gridCol w:w="1038"/>
        <w:gridCol w:w="1038"/>
        <w:gridCol w:w="1038"/>
      </w:tblGrid>
      <w:tr>
        <w:trPr>
          <w:tblHeader w:val="true"/>
          <w:cantSplit/>
        </w:trPr>
        <w:tc>
          <w:tcPr>
            <w:tcW w:type="dxa" w:w="1038"/>
          </w:tcPr>
          <w:p>
            <w:r>
              <w:t>No.</w:t>
            </w:r>
          </w:p>
        </w:tc>
        <w:tc>
          <w:tcPr>
            <w:tcW w:type="dxa" w:w="1038"/>
          </w:tcPr>
          <w:p>
            <w:r>
              <w:t>Name</w:t>
            </w:r>
          </w:p>
        </w:tc>
        <w:tc>
          <w:tcPr>
            <w:tcW w:type="dxa" w:w="1038"/>
          </w:tcPr>
          <w:p>
            <w:r>
              <w:t>Membership category</w:t>
            </w:r>
          </w:p>
        </w:tc>
        <w:tc>
          <w:tcPr>
            <w:tcW w:type="dxa" w:w="1038"/>
          </w:tcPr>
          <w:p>
            <w:r>
              <w:t>Designation / organisation</w:t>
            </w:r>
          </w:p>
        </w:tc>
        <w:tc>
          <w:tcPr>
            <w:tcW w:type="dxa" w:w="1038"/>
          </w:tcPr>
          <w:p>
            <w:r>
              <w:t>Workplace</w:t>
            </w:r>
          </w:p>
        </w:tc>
        <w:tc>
          <w:tcPr>
            <w:tcW w:type="dxa" w:w="1038"/>
          </w:tcPr>
          <w:p>
            <w:r>
              <w:t>Appointment date</w:t>
            </w:r>
          </w:p>
        </w:tc>
        <w:tc>
          <w:tcPr>
            <w:tcW w:type="dxa" w:w="1038"/>
          </w:tcPr>
          <w:p>
            <w:r>
              <w:t>Term end date</w:t>
            </w:r>
          </w:p>
        </w:tc>
        <w:tc>
          <w:tcPr>
            <w:tcW w:type="dxa" w:w="1038"/>
          </w:tcPr>
          <w:p>
            <w:r>
              <w:t>Official contact</w:t>
            </w:r>
          </w:p>
        </w:tc>
      </w:tr>
      <w:tr>
        <w:trPr>
          <w:cantSplit/>
        </w:trPr>
        <w:tc>
          <w:tcPr>
            <w:tcW w:type="dxa" w:w="1038"/>
          </w:tcPr>
          <w:p>
            <w:r>
              <w:t>1</w:t>
            </w:r>
          </w:p>
        </w:tc>
        <w:tc>
          <w:tcPr>
            <w:tcW w:type="dxa" w:w="1038"/>
          </w:tcPr>
          <w:p>
            <w:r/>
          </w:p>
        </w:tc>
        <w:tc>
          <w:tcPr>
            <w:tcW w:type="dxa" w:w="1038"/>
          </w:tcPr>
          <w:p>
            <w:r>
              <w:t>Presiding Officer — woman employee at senior level; Section 4(2)(a), subject to statutory alternatives</w:t>
            </w:r>
          </w:p>
        </w:tc>
        <w:tc>
          <w:tcPr>
            <w:tcW w:type="dxa" w:w="1038"/>
          </w:tcPr>
          <w:p>
            <w:r/>
          </w:p>
        </w:tc>
        <w:tc>
          <w:tcPr>
            <w:tcW w:type="dxa" w:w="1038"/>
          </w:tcPr>
          <w:p>
            <w:r/>
          </w:p>
        </w:tc>
        <w:tc>
          <w:tcPr>
            <w:tcW w:type="dxa" w:w="1038"/>
          </w:tcPr>
          <w:p>
            <w:r/>
          </w:p>
        </w:tc>
        <w:tc>
          <w:tcPr>
            <w:tcW w:type="dxa" w:w="1038"/>
          </w:tcPr>
          <w:p>
            <w:r/>
          </w:p>
        </w:tc>
        <w:tc>
          <w:tcPr>
            <w:tcW w:type="dxa" w:w="1038"/>
          </w:tcPr>
          <w:p>
            <w:r/>
          </w:p>
        </w:tc>
      </w:tr>
      <w:tr>
        <w:trPr>
          <w:cantSplit/>
        </w:trPr>
        <w:tc>
          <w:tcPr>
            <w:tcW w:type="dxa" w:w="1038"/>
          </w:tcPr>
          <w:p>
            <w:r>
              <w:t>2</w:t>
            </w:r>
          </w:p>
        </w:tc>
        <w:tc>
          <w:tcPr>
            <w:tcW w:type="dxa" w:w="1038"/>
          </w:tcPr>
          <w:p>
            <w:r/>
          </w:p>
        </w:tc>
        <w:tc>
          <w:tcPr>
            <w:tcW w:type="dxa" w:w="1038"/>
          </w:tcPr>
          <w:p>
            <w:r>
              <w:t>Employee Member 1 — Section 4(2)(b)</w:t>
            </w:r>
          </w:p>
        </w:tc>
        <w:tc>
          <w:tcPr>
            <w:tcW w:type="dxa" w:w="1038"/>
          </w:tcPr>
          <w:p>
            <w:r/>
          </w:p>
        </w:tc>
        <w:tc>
          <w:tcPr>
            <w:tcW w:type="dxa" w:w="1038"/>
          </w:tcPr>
          <w:p>
            <w:r/>
          </w:p>
        </w:tc>
        <w:tc>
          <w:tcPr>
            <w:tcW w:type="dxa" w:w="1038"/>
          </w:tcPr>
          <w:p>
            <w:r/>
          </w:p>
        </w:tc>
        <w:tc>
          <w:tcPr>
            <w:tcW w:type="dxa" w:w="1038"/>
          </w:tcPr>
          <w:p>
            <w:r/>
          </w:p>
        </w:tc>
        <w:tc>
          <w:tcPr>
            <w:tcW w:type="dxa" w:w="1038"/>
          </w:tcPr>
          <w:p>
            <w:r/>
          </w:p>
        </w:tc>
      </w:tr>
      <w:tr>
        <w:trPr>
          <w:cantSplit/>
        </w:trPr>
        <w:tc>
          <w:tcPr>
            <w:tcW w:type="dxa" w:w="1038"/>
          </w:tcPr>
          <w:p>
            <w:r>
              <w:t>3</w:t>
            </w:r>
          </w:p>
        </w:tc>
        <w:tc>
          <w:tcPr>
            <w:tcW w:type="dxa" w:w="1038"/>
          </w:tcPr>
          <w:p>
            <w:r/>
          </w:p>
        </w:tc>
        <w:tc>
          <w:tcPr>
            <w:tcW w:type="dxa" w:w="1038"/>
          </w:tcPr>
          <w:p>
            <w:r>
              <w:t>Employee Member 2 — Section 4(2)(b)</w:t>
            </w:r>
          </w:p>
        </w:tc>
        <w:tc>
          <w:tcPr>
            <w:tcW w:type="dxa" w:w="1038"/>
          </w:tcPr>
          <w:p>
            <w:r/>
          </w:p>
        </w:tc>
        <w:tc>
          <w:tcPr>
            <w:tcW w:type="dxa" w:w="1038"/>
          </w:tcPr>
          <w:p>
            <w:r/>
          </w:p>
        </w:tc>
        <w:tc>
          <w:tcPr>
            <w:tcW w:type="dxa" w:w="1038"/>
          </w:tcPr>
          <w:p>
            <w:r/>
          </w:p>
        </w:tc>
        <w:tc>
          <w:tcPr>
            <w:tcW w:type="dxa" w:w="1038"/>
          </w:tcPr>
          <w:p>
            <w:r/>
          </w:p>
        </w:tc>
        <w:tc>
          <w:tcPr>
            <w:tcW w:type="dxa" w:w="1038"/>
          </w:tcPr>
          <w:p>
            <w:r/>
          </w:p>
        </w:tc>
      </w:tr>
      <w:tr>
        <w:trPr>
          <w:cantSplit/>
        </w:trPr>
        <w:tc>
          <w:tcPr>
            <w:tcW w:type="dxa" w:w="1038"/>
          </w:tcPr>
          <w:p>
            <w:r>
              <w:t>4</w:t>
            </w:r>
          </w:p>
        </w:tc>
        <w:tc>
          <w:tcPr>
            <w:tcW w:type="dxa" w:w="1038"/>
          </w:tcPr>
          <w:p>
            <w:r/>
          </w:p>
        </w:tc>
        <w:tc>
          <w:tcPr>
            <w:tcW w:type="dxa" w:w="1038"/>
          </w:tcPr>
          <w:p>
            <w:r>
              <w:t>External-category Member — Section 4(2)(c)</w:t>
            </w:r>
          </w:p>
        </w:tc>
        <w:tc>
          <w:tcPr>
            <w:tcW w:type="dxa" w:w="1038"/>
          </w:tcPr>
          <w:p>
            <w:r/>
          </w:p>
        </w:tc>
        <w:tc>
          <w:tcPr>
            <w:tcW w:type="dxa" w:w="1038"/>
          </w:tcPr>
          <w:p>
            <w:r/>
          </w:p>
        </w:tc>
        <w:tc>
          <w:tcPr>
            <w:tcW w:type="dxa" w:w="1038"/>
          </w:tcPr>
          <w:p>
            <w:r/>
          </w:p>
        </w:tc>
        <w:tc>
          <w:tcPr>
            <w:tcW w:type="dxa" w:w="1038"/>
          </w:tcPr>
          <w:p>
            <w:r/>
          </w:p>
        </w:tc>
        <w:tc>
          <w:tcPr>
            <w:tcW w:type="dxa" w:w="1038"/>
          </w:tcPr>
          <w:p>
            <w:r/>
          </w:p>
        </w:tc>
      </w:tr>
    </w:tbl>
    <w:p>
      <w:pPr>
        <w:pStyle w:val="Caption"/>
      </w:pPr>
      <w:r>
        <w:t>DRAFTING NOTE — REMOVE BEFORE ISSUE: insert additional employee-member rows if required; the table supplies one external-category position, not two. Section 4(2)(b) requires at least two employee members, preferably committed to the cause of women, experienced in social work or having legal knowledge. Section 4(2)(c) concerns an NGO/association committed to the cause of women or a person familiar with sexual-harassment issues. Rule 4 addresses a Local Committee category under Section 7, not a universal five-year eligibility test for IC external members.</w:t>
      </w:r>
    </w:p>
    <w:p>
      <w:pPr>
        <w:pStyle w:val="Heading1"/>
      </w:pPr>
      <w:r>
        <w:t>Clause 3 — Statutory composition</w:t>
      </w:r>
    </w:p>
    <w:p>
      <w:pPr>
        <w:pStyle w:val="Caption"/>
      </w:pPr>
      <w:r>
        <w:t>DRAFTING NOTE — REMOVE BEFORE ISSUE: Confirm the woman Presiding Officer requirement under Section 4(2)(a). If a senior-level woman employee is unavailable, its first proviso refers to other offices/administrative units of the workplace; if those also lack one, the second refers to another workplace of the same employer or another department/organisation. Confirm at least two employee members, one eligible Section 4(2)(c) member, at least half of all nominated members being women, and applicable office/unit coverage. Record actual totals, source evidence and reviewer/date in Annexure A. This note is not a declaration that these requirements are met.</w:t>
      </w:r>
    </w:p>
    <w:p>
      <w:pPr>
        <w:pStyle w:val="Heading1"/>
      </w:pPr>
      <w:r>
        <w:t>Clause 4 — Appointment period</w:t>
      </w:r>
    </w:p>
    <w:p>
      <w:pPr>
        <w:pStyle w:val="Caption"/>
      </w:pPr>
      <w:r>
        <w:t>PROPOSED ORDER TEXT</w:t>
      </w:r>
    </w:p>
    <w:p>
      <w:r>
        <w:t>The nominated members shall hold office for the period specified in this order, subject to Section 4(3) and any earlier change required under law. Period specified: [ ]. Start: [ ]. End: [ ]. Member-specific dates are recorded in the appointment table.</w:t>
      </w:r>
    </w:p>
    <w:p>
      <w:pPr>
        <w:pStyle w:val="Caption"/>
      </w:pPr>
      <w:r>
        <w:t>DRAFTING NOTE — REMOVE BEFORE ISSUE: Section 4(3) allows a specified period not exceeding three years from nomination; it does not automatically appoint every member for three years. Check individual dates, applicable changes and fresh nomination for vacancies under Section 4(5).</w:t>
      </w:r>
    </w:p>
    <w:p>
      <w:pPr>
        <w:pStyle w:val="Heading1"/>
      </w:pPr>
      <w:r>
        <w:t>Clause 5 — Functions and support</w:t>
      </w:r>
    </w:p>
    <w:p>
      <w:pPr>
        <w:pStyle w:val="Caption"/>
      </w:pPr>
      <w:r>
        <w:t>PROPOSED ORDER TEXT</w:t>
      </w:r>
    </w:p>
    <w:p>
      <w:r>
        <w:t>The Committee shall discharge its functions in accordance with the POSH Act, applicable Rules and other legally applicable procedural requirements. The employer shall provide the required support and facilities.</w:t>
      </w:r>
    </w:p>
    <w:p>
      <w:pPr>
        <w:pStyle w:val="Caption"/>
      </w:pPr>
      <w:r>
        <w:t>DRAFTING NOTE — REMOVE BEFORE ISSUE: Assign the actual support owner and verify applicable allowances under Section 4(4)/Rule 3. Do not grant management authority to direct findings.</w:t>
      </w:r>
    </w:p>
    <w:p>
      <w:pPr>
        <w:pStyle w:val="Heading1"/>
      </w:pPr>
      <w:r>
        <w:t>Clause 6 — Confidentiality</w:t>
      </w:r>
    </w:p>
    <w:p>
      <w:pPr>
        <w:pStyle w:val="Caption"/>
      </w:pPr>
      <w:r>
        <w:t>PROPOSED ORDER TEXT</w:t>
      </w:r>
    </w:p>
    <w:p>
      <w:r>
        <w:t>Members shall observe the confidentiality obligations applicable to complaint and inquiry information, including the requirements of Section 16 of the POSH Act.</w:t>
      </w:r>
    </w:p>
    <w:p>
      <w:pPr>
        <w:pStyle w:val="Caption"/>
      </w:pPr>
      <w:r>
        <w:t>DRAFTING NOTE — REMOVE BEFORE ISSUE: Section 16 concerns specified complaint and inquiry information. Do not promise that every internal communication is confidential; maintain lawful procedural communication.</w:t>
      </w:r>
    </w:p>
    <w:p>
      <w:pPr>
        <w:pStyle w:val="Heading1"/>
      </w:pPr>
      <w:r>
        <w:t>Clause 7 — Communication</w:t>
      </w:r>
    </w:p>
    <w:p>
      <w:pPr>
        <w:pStyle w:val="Caption"/>
      </w:pPr>
      <w:r>
        <w:t>PROPOSED ORDER TEXT</w:t>
      </w:r>
    </w:p>
    <w:p>
      <w:r>
        <w:t>The organisational function responsible for communicating the current Committee constitution and relevant official contact details is [function / owner / channel].</w:t>
      </w:r>
    </w:p>
    <w:p>
      <w:pPr>
        <w:pStyle w:val="Caption"/>
      </w:pPr>
      <w:r>
        <w:t>DRAFTING NOTE — REMOVE BEFORE ISSUE: Distinguish the conspicuous display of penal consequences and the written order under Section 19(b) from declaration of member names and contacts under Rule 13(e). Record the relevant locations and channels.</w:t>
      </w:r>
    </w:p>
    <w:p>
      <w:pPr>
        <w:pStyle w:val="Heading1"/>
      </w:pPr>
      <w:r>
        <w:t>Clause 8 — Authorisation</w:t>
      </w:r>
    </w:p>
    <w:p>
      <w:r>
        <w:t>Issued by: [Authorised employer representative]</w:t>
        <w:br/>
        <w:t>Name: [ ]</w:t>
        <w:br/>
        <w:t>Designation: [ ]</w:t>
        <w:br/>
        <w:t>Date: [ ]</w:t>
        <w:br/>
        <w:t>Signature: [ ]</w:t>
      </w:r>
    </w:p>
    <w:p>
      <w:pPr>
        <w:pStyle w:val="Heading1"/>
      </w:pPr>
      <w:r>
        <w:t>Annexure A — Membership summary</w:t>
      </w:r>
    </w:p>
    <w:tbl>
      <w:tblPr>
        <w:tblStyle w:val="LightShading-Accent1"/>
        <w:tblW w:type="auto" w:w="0"/>
        <w:tblLook w:firstColumn="1" w:firstRow="1" w:lastColumn="0" w:lastRow="0" w:noHBand="0" w:noVBand="1" w:val="04A0"/>
      </w:tblPr>
      <w:tblGrid>
        <w:gridCol w:w="4152"/>
        <w:gridCol w:w="4152"/>
      </w:tblGrid>
      <w:tr>
        <w:trPr>
          <w:tblHeader w:val="true"/>
          <w:cantSplit/>
        </w:trPr>
        <w:tc>
          <w:tcPr>
            <w:tcW w:type="dxa" w:w="4152"/>
          </w:tcPr>
          <w:p>
            <w:r>
              <w:t>Composition review prompt</w:t>
            </w:r>
          </w:p>
        </w:tc>
        <w:tc>
          <w:tcPr>
            <w:tcW w:type="dxa" w:w="4152"/>
          </w:tcPr>
          <w:p>
            <w:r>
              <w:t>Confirmed entry / review note</w:t>
            </w:r>
          </w:p>
        </w:tc>
      </w:tr>
      <w:tr>
        <w:trPr>
          <w:cantSplit/>
        </w:trPr>
        <w:tc>
          <w:tcPr>
            <w:tcW w:type="dxa" w:w="4152"/>
          </w:tcPr>
          <w:p>
            <w:r>
              <w:t>Total nominated members</w:t>
            </w:r>
          </w:p>
        </w:tc>
        <w:tc>
          <w:tcPr>
            <w:tcW w:type="dxa" w:w="4152"/>
          </w:tcPr>
          <w:p>
            <w:r>
              <w:t>[ ]</w:t>
            </w:r>
          </w:p>
        </w:tc>
      </w:tr>
      <w:tr>
        <w:trPr>
          <w:cantSplit/>
        </w:trPr>
        <w:tc>
          <w:tcPr>
            <w:tcW w:type="dxa" w:w="4152"/>
          </w:tcPr>
          <w:p>
            <w:r>
              <w:t>Women members / at-least-half calculation</w:t>
            </w:r>
          </w:p>
        </w:tc>
        <w:tc>
          <w:tcPr>
            <w:tcW w:type="dxa" w:w="4152"/>
          </w:tcPr>
          <w:p>
            <w:r>
              <w:t>[ ]</w:t>
            </w:r>
          </w:p>
        </w:tc>
      </w:tr>
      <w:tr>
        <w:trPr>
          <w:cantSplit/>
        </w:trPr>
        <w:tc>
          <w:tcPr>
            <w:tcW w:type="dxa" w:w="4152"/>
          </w:tcPr>
          <w:p>
            <w:r>
              <w:t>Woman Presiding Officer / statutory alternative and basis</w:t>
            </w:r>
          </w:p>
        </w:tc>
        <w:tc>
          <w:tcPr>
            <w:tcW w:type="dxa" w:w="4152"/>
          </w:tcPr>
          <w:p>
            <w:r>
              <w:t>[ ]</w:t>
            </w:r>
          </w:p>
        </w:tc>
      </w:tr>
      <w:tr>
        <w:trPr>
          <w:cantSplit/>
        </w:trPr>
        <w:tc>
          <w:tcPr>
            <w:tcW w:type="dxa" w:w="4152"/>
          </w:tcPr>
          <w:p>
            <w:r>
              <w:t>Employee members / eligibility basis</w:t>
            </w:r>
          </w:p>
        </w:tc>
        <w:tc>
          <w:tcPr>
            <w:tcW w:type="dxa" w:w="4152"/>
          </w:tcPr>
          <w:p>
            <w:r>
              <w:t>[ ]</w:t>
            </w:r>
          </w:p>
        </w:tc>
      </w:tr>
      <w:tr>
        <w:trPr>
          <w:cantSplit/>
        </w:trPr>
        <w:tc>
          <w:tcPr>
            <w:tcW w:type="dxa" w:w="4152"/>
          </w:tcPr>
          <w:p>
            <w:r>
              <w:t>Section 4(2)(c) member / eligibility basis</w:t>
            </w:r>
          </w:p>
        </w:tc>
        <w:tc>
          <w:tcPr>
            <w:tcW w:type="dxa" w:w="4152"/>
          </w:tcPr>
          <w:p>
            <w:r>
              <w:t>[ ]</w:t>
            </w:r>
          </w:p>
        </w:tc>
      </w:tr>
      <w:tr>
        <w:trPr>
          <w:cantSplit/>
        </w:trPr>
        <w:tc>
          <w:tcPr>
            <w:tcW w:type="dxa" w:w="4152"/>
          </w:tcPr>
          <w:p>
            <w:r>
              <w:t>Specified tenure / nomination dates</w:t>
            </w:r>
          </w:p>
        </w:tc>
        <w:tc>
          <w:tcPr>
            <w:tcW w:type="dxa" w:w="4152"/>
          </w:tcPr>
          <w:p>
            <w:r>
              <w:t>[ ]</w:t>
            </w:r>
          </w:p>
        </w:tc>
      </w:tr>
      <w:tr>
        <w:trPr>
          <w:cantSplit/>
        </w:trPr>
        <w:tc>
          <w:tcPr>
            <w:tcW w:type="dxa" w:w="4152"/>
          </w:tcPr>
          <w:p>
            <w:r>
              <w:t>Unit coverage / written-order scope</w:t>
            </w:r>
          </w:p>
        </w:tc>
        <w:tc>
          <w:tcPr>
            <w:tcW w:type="dxa" w:w="4152"/>
          </w:tcPr>
          <w:p>
            <w:r>
              <w:t>[ ]</w:t>
            </w:r>
          </w:p>
        </w:tc>
      </w:tr>
      <w:tr>
        <w:trPr>
          <w:cantSplit/>
        </w:trPr>
        <w:tc>
          <w:tcPr>
            <w:tcW w:type="dxa" w:w="4152"/>
          </w:tcPr>
          <w:p>
            <w:r>
              <w:t>Source/order references</w:t>
            </w:r>
          </w:p>
        </w:tc>
        <w:tc>
          <w:tcPr>
            <w:tcW w:type="dxa" w:w="4152"/>
          </w:tcPr>
          <w:p>
            <w:r>
              <w:t>[ ]</w:t>
            </w:r>
          </w:p>
        </w:tc>
      </w:tr>
      <w:tr>
        <w:trPr>
          <w:cantSplit/>
        </w:trPr>
        <w:tc>
          <w:tcPr>
            <w:tcW w:type="dxa" w:w="4152"/>
          </w:tcPr>
          <w:p>
            <w:r>
              <w:t>Review as-of date</w:t>
            </w:r>
          </w:p>
        </w:tc>
        <w:tc>
          <w:tcPr>
            <w:tcW w:type="dxa" w:w="4152"/>
          </w:tcPr>
          <w:p>
            <w:r>
              <w:t>[ ]</w:t>
            </w:r>
          </w:p>
        </w:tc>
      </w:tr>
      <w:tr>
        <w:trPr>
          <w:cantSplit/>
        </w:trPr>
        <w:tc>
          <w:tcPr>
            <w:tcW w:type="dxa" w:w="4152"/>
          </w:tcPr>
          <w:p>
            <w:r>
              <w:t>Actual reviewer / capacity / decision</w:t>
            </w:r>
          </w:p>
        </w:tc>
        <w:tc>
          <w:tcPr>
            <w:tcW w:type="dxa" w:w="4152"/>
          </w:tcPr>
          <w:p>
            <w:r>
              <w:t>[ ]</w:t>
            </w:r>
          </w:p>
        </w:tc>
      </w:tr>
    </w:tbl>
    <w:p>
      <w:pPr>
        <w:pStyle w:val="Heading1"/>
      </w:pPr>
      <w:r>
        <w:t>Annexure B — Organisation-specific review notes</w:t>
      </w:r>
    </w:p>
    <w:p>
      <w:r>
        <w:t>Location coverage: [ ]</w:t>
        <w:br/>
        <w:t>Eligibility considerations: [ ]</w:t>
        <w:br/>
        <w:t>Membership changes / superseded order: [ ]</w:t>
        <w:br/>
        <w:t>Service-rule/legal review and source editions: [ ]</w:t>
        <w:br/>
        <w:t>Internal approvals / evidence reference: [ ]</w:t>
        <w:br/>
        <w:t>Outstanding issues / owner / follow-up date: [ ]</w:t>
      </w:r>
    </w:p>
    <w:p>
      <w:r>
        <w:t>Input fingerprint: e0157d29b80952c61f21962b488cab9b0969af68ea1ef1f8bd4b3ccadcbaae19; final binary SHA-256 is recorded in the companion release manifest, not embedded recursively in this file.</w:t>
      </w:r>
    </w:p>
    <w:p>
      <w:pPr>
        <w:pStyle w:val="Heading1"/>
        <w:keepNext/>
        <w:spacing w:before="40" w:after="40"/>
      </w:pPr>
      <w:r>
        <w:rPr>
          <w:sz w:val="24"/>
        </w:rPr>
        <w:t>Sources and status</w:t>
      </w:r>
    </w:p>
    <w:p>
      <w:pPr>
        <w:keepLines/>
        <w:spacing w:before="0" w:after="0" w:line="216" w:lineRule="auto"/>
      </w:pPr>
      <w:r>
        <w:rPr>
          <w:sz w:val="17"/>
        </w:rPr>
        <w:t>Primary source: India Code, POSH Act, 2013, https://www.indiacode.nic.in/indiacode/bitstream/123456789/2104/1/A2013-14.pdf</w:t>
        <w:br/>
        <w:t>Rules references require confirmation against current official text before adoption. Last editorial update: 2026-11-02; template review and publication confirmed 2026-11-03. Organisation-specific adoption requires separate review.</w:t>
      </w:r>
    </w:p>
    <w:p>
      <w:pPr>
        <w:keepLines/>
        <w:spacing w:before="0" w:after="0" w:line="216" w:lineRule="auto"/>
      </w:pPr>
      <w:r>
        <w:rPr>
          <w:sz w:val="17"/>
        </w:rPr>
        <w:t>PIH organisational drafting aid — not a government-prescribed form, certification or legal opinion. Customise and obtain appropriate legal and organisational approval before use.</w:t>
      </w:r>
    </w:p>
    <w:p>
      <w:pPr>
        <w:keepLines/>
        <w:spacing w:before="0" w:after="0" w:line="216" w:lineRule="auto"/>
      </w:pPr>
      <w:r>
        <w:rPr>
          <w:sz w:val="17"/>
        </w:rPr>
        <w:t>POSH Act 2013 — India Code | India Code PDF — last updated 31 August 2021 | https://www.indiacode.nic.in/indiacode/bitstream/123456789/2104/1/A2013-14.pdf</w:t>
      </w:r>
    </w:p>
    <w:p>
      <w:pPr>
        <w:keepLines/>
        <w:spacing w:before="0" w:after="0" w:line="216" w:lineRule="auto"/>
      </w:pPr>
      <w:r>
        <w:rPr>
          <w:sz w:val="17"/>
        </w:rPr>
        <w:t>POSH Rules 2013 — Ministry Gazette | G.S.R. 769(E), dated 9 December 2013 | https://spniwcd.wcd.gov.in/uploads/pdf/1719914401_2NUqe91gql.pdf</w:t>
      </w:r>
    </w:p>
    <w:p>
      <w:pPr>
        <w:keepLines/>
        <w:spacing w:before="0" w:after="0" w:line="216" w:lineRule="auto"/>
      </w:pPr>
      <w:r>
        <w:rPr>
          <w:sz w:val="17"/>
        </w:rPr>
        <w:t>LAW = Act duty; RULES = prescribed requirement; RECOMMENDED CONTROL = planning aid; ORGANISATION-SPECIFIC = contextual decision.</w:t>
      </w:r>
    </w:p>
    <w:sectPr w:rsidR="00FC693F" w:rsidRPr="0006063C" w:rsidSect="00034616">
      <w:footerReference w:type="default" r:id="rId9"/>
      <w:pgSz w:w="11905" w:h="16838"/>
      <w:pgMar w:top="1008"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PIH model 0.2.0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47556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3B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3B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23B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2026-11-02T00:00:00Z</dcterms:created>
  <dcterms:modified xsi:type="dcterms:W3CDTF">2026-11-02T00:00:00Z</dcterms:modified>
  <cp:category/>
</cp:coreProperties>
</file>